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91C1C"/>
          <w:sz w:val="17"/>
        </w:rPr>
        <w:t>SUPPLY MEANT FOR EXPORT UNDER LETTER OF UNDERTAKING (LUT) WITHOUT PAYMENT OF INTEGRATED TAX (IGST)</w:t>
        <w:br/>
      </w:r>
      <w:r>
        <w:rPr>
          <w:color w:val="64748B"/>
          <w:sz w:val="15"/>
        </w:rPr>
        <w:t>Pursuant to Rule 96A of Central Goods and Services Tax (CGST) Rules, 2017 &amp; Section 16 of IGST Act, 2017</w:t>
      </w:r>
    </w:p>
    <w:p>
      <w:r>
        <w:rPr>
          <w:b/>
          <w:color w:val="0284C7"/>
          <w:sz w:val="40"/>
        </w:rPr>
        <w:t>EXPORT TAX INVOICE</w:t>
      </w:r>
    </w:p>
    <w:tbl>
      <w:tblPr>
        <w:tblW w:type="auto" w:w="0"/>
        <w:jc w:val="center"/>
        <w:tblLook w:firstColumn="1" w:firstRow="1" w:lastColumn="0" w:lastRow="0" w:noHBand="0" w:noVBand="1" w:val="04A0"/>
      </w:tblPr>
      <w:tblGrid>
        <w:gridCol w:w="5112"/>
        <w:gridCol w:w="5112"/>
      </w:tblGrid>
      <w:tr>
        <w:tc>
          <w:tcPr>
            <w:tcW w:type="dxa" w:w="5328"/>
          </w:tcPr>
          <w:p>
            <w:r>
              <w:rPr>
                <w:b/>
              </w:rPr>
              <w:t>EXPORTER DETAILS:</w:t>
              <w:br/>
            </w:r>
            <w:r>
              <w:rPr>
                <w:sz w:val="17"/>
              </w:rPr>
              <w:t>CodXpert Digital Technologies Pvt Ltd</w:t>
              <w:br/>
              <w:t>House No. 119, I.T.C. Colony, Shankarpur</w:t>
              <w:br/>
              <w:t>Munger, Bihar 811201, India</w:t>
              <w:br/>
              <w:t>GSTIN: 10AABCC1234F1Z9 | IEC: 0319082910</w:t>
              <w:br/>
              <w:t>LUT ARN: AD270326001928K (Date: 01/04/2026)</w:t>
              <w:br/>
              <w:t>State Code: 10 (Bihar) | Country: India</w:t>
            </w:r>
          </w:p>
        </w:tc>
        <w:tc>
          <w:tcPr>
            <w:tcW w:type="dxa" w:w="4752"/>
          </w:tcPr>
          <w:p>
            <w:pPr>
              <w:jc w:val="right"/>
            </w:pPr>
            <w:r>
              <w:rPr>
                <w:b/>
              </w:rPr>
              <w:t>EXPORT METADATA:</w:t>
              <w:br/>
            </w:r>
            <w:r>
              <w:rPr>
                <w:sz w:val="17"/>
              </w:rPr>
              <w:t>Invoice No: EXP-2026-019</w:t>
              <w:br/>
              <w:t>Invoice Date: September 23, 2026</w:t>
              <w:br/>
              <w:t>Currency of Invoice: USD ($)</w:t>
              <w:br/>
              <w:t>RBI Ref Exchange Rate: ₹ 95.15 / USD</w:t>
              <w:br/>
              <w:t>Port of Loading: Bengaluru Air Cargo / EDI</w:t>
              <w:br/>
              <w:t>Payment Term: Advance / Net 30</w:t>
            </w:r>
          </w:p>
        </w:tc>
      </w:tr>
    </w:tbl>
    <w:p>
      <w:pPr>
        <w:spacing w:after="160"/>
      </w:pPr>
    </w:p>
    <w:tbl>
      <w:tblPr>
        <w:tblW w:type="auto" w:w="0"/>
        <w:jc w:val="center"/>
        <w:tblLook w:firstColumn="1" w:firstRow="1" w:lastColumn="0" w:lastRow="0" w:noHBand="0" w:noVBand="1" w:val="04A0"/>
      </w:tblPr>
      <w:tblGrid>
        <w:gridCol w:w="10224"/>
      </w:tblGrid>
      <w:tr>
        <w:tc>
          <w:tcPr>
            <w:tcW w:type="dxa" w:w="10080"/>
            <w:shd w:fill="EFF6FF"/>
            <w:tcMar>
              <w:top w:w="100" w:type="dxa"/>
              <w:bottom w:w="100" w:type="dxa"/>
              <w:left w:w="120" w:type="dxa"/>
              <w:right w:w="120" w:type="dxa"/>
            </w:tcMar>
          </w:tcPr>
          <w:p>
            <w:r>
              <w:rPr>
                <w:b/>
              </w:rPr>
              <w:t>FOREIGN RECIPIENT (OVERSEAS BUYER):</w:t>
              <w:br/>
            </w:r>
            <w:r>
              <w:rPr>
                <w:sz w:val="17"/>
              </w:rPr>
              <w:t>HyperScale Systems Ltd</w:t>
              <w:br/>
              <w:t>25 Churchill Place, Canary Wharf, London, E14 5RE, United Kingdom</w:t>
              <w:br/>
              <w:t>Country of Final Destination: United Kingdom | Tax Reg: GB982310291</w:t>
            </w:r>
          </w:p>
        </w:tc>
      </w:tr>
    </w:tbl>
    <w:p>
      <w:pPr>
        <w:spacing w:after="160"/>
      </w:pPr>
    </w:p>
    <w:tbl>
      <w:tblPr>
        <w:tblW w:type="auto" w:w="0"/>
        <w:jc w:val="center"/>
        <w:tblLook w:firstColumn="1" w:firstRow="1" w:lastColumn="0" w:lastRow="0" w:noHBand="0" w:noVBand="1" w:val="04A0"/>
      </w:tblPr>
      <w:tblGrid>
        <w:gridCol w:w="1461"/>
        <w:gridCol w:w="1461"/>
        <w:gridCol w:w="1461"/>
        <w:gridCol w:w="1461"/>
        <w:gridCol w:w="1461"/>
        <w:gridCol w:w="1461"/>
        <w:gridCol w:w="1461"/>
      </w:tblGrid>
      <w:tr>
        <w:tc>
          <w:tcPr>
            <w:tcW w:type="dxa" w:w="576"/>
            <w:shd w:fill="0284C7"/>
            <w:tcMar>
              <w:top w:w="80" w:type="dxa"/>
              <w:bottom w:w="80" w:type="dxa"/>
              <w:left w:w="50" w:type="dxa"/>
              <w:right w:w="50" w:type="dxa"/>
            </w:tcMar>
          </w:tcPr>
          <w:p>
            <w:pPr>
              <w:jc w:val="left"/>
            </w:pPr>
            <w:r>
              <w:rPr>
                <w:b/>
                <w:color w:val="FFFFFF"/>
                <w:sz w:val="15"/>
              </w:rPr>
              <w:t>#</w:t>
            </w:r>
          </w:p>
        </w:tc>
        <w:tc>
          <w:tcPr>
            <w:tcW w:type="dxa" w:w="3744"/>
            <w:shd w:fill="0284C7"/>
            <w:tcMar>
              <w:top w:w="80" w:type="dxa"/>
              <w:bottom w:w="80" w:type="dxa"/>
              <w:left w:w="50" w:type="dxa"/>
              <w:right w:w="50" w:type="dxa"/>
            </w:tcMar>
          </w:tcPr>
          <w:p>
            <w:pPr>
              <w:jc w:val="left"/>
            </w:pPr>
            <w:r>
              <w:rPr>
                <w:b/>
                <w:color w:val="FFFFFF"/>
                <w:sz w:val="15"/>
              </w:rPr>
              <w:t>Export Description of Service</w:t>
            </w:r>
          </w:p>
        </w:tc>
        <w:tc>
          <w:tcPr>
            <w:tcW w:type="dxa" w:w="1152"/>
            <w:shd w:fill="0284C7"/>
            <w:tcMar>
              <w:top w:w="80" w:type="dxa"/>
              <w:bottom w:w="80" w:type="dxa"/>
              <w:left w:w="50" w:type="dxa"/>
              <w:right w:w="50" w:type="dxa"/>
            </w:tcMar>
          </w:tcPr>
          <w:p>
            <w:pPr>
              <w:jc w:val="left"/>
            </w:pPr>
            <w:r>
              <w:rPr>
                <w:b/>
                <w:color w:val="FFFFFF"/>
                <w:sz w:val="15"/>
              </w:rPr>
              <w:t>SAC Code</w:t>
            </w:r>
          </w:p>
        </w:tc>
        <w:tc>
          <w:tcPr>
            <w:tcW w:type="dxa" w:w="576"/>
            <w:shd w:fill="0284C7"/>
            <w:tcMar>
              <w:top w:w="80" w:type="dxa"/>
              <w:bottom w:w="80" w:type="dxa"/>
              <w:left w:w="50" w:type="dxa"/>
              <w:right w:w="50" w:type="dxa"/>
            </w:tcMar>
          </w:tcPr>
          <w:p>
            <w:pPr>
              <w:jc w:val="right"/>
            </w:pPr>
            <w:r>
              <w:rPr>
                <w:b/>
                <w:color w:val="FFFFFF"/>
                <w:sz w:val="15"/>
              </w:rPr>
              <w:t>Qty</w:t>
            </w:r>
          </w:p>
        </w:tc>
        <w:tc>
          <w:tcPr>
            <w:tcW w:type="dxa" w:w="1152"/>
            <w:shd w:fill="0284C7"/>
            <w:tcMar>
              <w:top w:w="80" w:type="dxa"/>
              <w:bottom w:w="80" w:type="dxa"/>
              <w:left w:w="50" w:type="dxa"/>
              <w:right w:w="50" w:type="dxa"/>
            </w:tcMar>
          </w:tcPr>
          <w:p>
            <w:pPr>
              <w:jc w:val="right"/>
            </w:pPr>
            <w:r>
              <w:rPr>
                <w:b/>
                <w:color w:val="FFFFFF"/>
                <w:sz w:val="15"/>
              </w:rPr>
              <w:t>Rate (USD)</w:t>
            </w:r>
          </w:p>
        </w:tc>
        <w:tc>
          <w:tcPr>
            <w:tcW w:type="dxa" w:w="1440"/>
            <w:shd w:fill="0284C7"/>
            <w:tcMar>
              <w:top w:w="80" w:type="dxa"/>
              <w:bottom w:w="80" w:type="dxa"/>
              <w:left w:w="50" w:type="dxa"/>
              <w:right w:w="50" w:type="dxa"/>
            </w:tcMar>
          </w:tcPr>
          <w:p>
            <w:pPr>
              <w:jc w:val="right"/>
            </w:pPr>
            <w:r>
              <w:rPr>
                <w:b/>
                <w:color w:val="FFFFFF"/>
                <w:sz w:val="15"/>
              </w:rPr>
              <w:t>Total (USD)</w:t>
            </w:r>
          </w:p>
        </w:tc>
        <w:tc>
          <w:tcPr>
            <w:tcW w:type="dxa" w:w="1440"/>
            <w:shd w:fill="0284C7"/>
            <w:tcMar>
              <w:top w:w="80" w:type="dxa"/>
              <w:bottom w:w="80" w:type="dxa"/>
              <w:left w:w="50" w:type="dxa"/>
              <w:right w:w="50" w:type="dxa"/>
            </w:tcMar>
          </w:tcPr>
          <w:p>
            <w:pPr>
              <w:jc w:val="right"/>
            </w:pPr>
            <w:r>
              <w:rPr>
                <w:b/>
                <w:color w:val="FFFFFF"/>
                <w:sz w:val="15"/>
              </w:rPr>
              <w:t>Equiv. INR (₹)</w:t>
            </w:r>
          </w:p>
        </w:tc>
      </w:tr>
      <w:tr>
        <w:tc>
          <w:tcPr>
            <w:tcW w:type="dxa" w:w="576"/>
            <w:shd w:fill="FFFFFF"/>
            <w:tcMar>
              <w:top w:w="70" w:type="dxa"/>
              <w:bottom w:w="70" w:type="dxa"/>
              <w:left w:w="50" w:type="dxa"/>
              <w:right w:w="50" w:type="dxa"/>
            </w:tcMar>
          </w:tcPr>
          <w:p>
            <w:pPr>
              <w:jc w:val="left"/>
            </w:pPr>
            <w:r>
              <w:rPr>
                <w:color w:val="334155"/>
                <w:sz w:val="16"/>
              </w:rPr>
              <w:t>1</w:t>
            </w:r>
          </w:p>
        </w:tc>
        <w:tc>
          <w:tcPr>
            <w:tcW w:type="dxa" w:w="3744"/>
            <w:shd w:fill="FFFFFF"/>
            <w:tcMar>
              <w:top w:w="70" w:type="dxa"/>
              <w:bottom w:w="70" w:type="dxa"/>
              <w:left w:w="50" w:type="dxa"/>
              <w:right w:w="50" w:type="dxa"/>
            </w:tcMar>
          </w:tcPr>
          <w:p>
            <w:pPr>
              <w:jc w:val="left"/>
            </w:pPr>
            <w:r>
              <w:rPr>
                <w:color w:val="334155"/>
                <w:sz w:val="16"/>
              </w:rPr>
              <w:t>Custom SaaS Platform Engineering (Sprint 12-14)</w:t>
            </w:r>
          </w:p>
        </w:tc>
        <w:tc>
          <w:tcPr>
            <w:tcW w:type="dxa" w:w="1152"/>
            <w:shd w:fill="FFFFFF"/>
            <w:tcMar>
              <w:top w:w="70" w:type="dxa"/>
              <w:bottom w:w="70" w:type="dxa"/>
              <w:left w:w="50" w:type="dxa"/>
              <w:right w:w="50" w:type="dxa"/>
            </w:tcMar>
          </w:tcPr>
          <w:p>
            <w:pPr>
              <w:jc w:val="left"/>
            </w:pPr>
            <w:r>
              <w:rPr>
                <w:color w:val="334155"/>
                <w:sz w:val="16"/>
              </w:rPr>
              <w:t>998313</w:t>
            </w:r>
          </w:p>
        </w:tc>
        <w:tc>
          <w:tcPr>
            <w:tcW w:type="dxa" w:w="576"/>
            <w:shd w:fill="FFFFFF"/>
            <w:tcMar>
              <w:top w:w="70" w:type="dxa"/>
              <w:bottom w:w="70" w:type="dxa"/>
              <w:left w:w="50" w:type="dxa"/>
              <w:right w:w="50" w:type="dxa"/>
            </w:tcMar>
          </w:tcPr>
          <w:p>
            <w:pPr>
              <w:jc w:val="right"/>
            </w:pPr>
            <w:r>
              <w:rPr>
                <w:color w:val="334155"/>
                <w:sz w:val="16"/>
              </w:rPr>
              <w:t>1</w:t>
            </w:r>
          </w:p>
        </w:tc>
        <w:tc>
          <w:tcPr>
            <w:tcW w:type="dxa" w:w="1152"/>
            <w:shd w:fill="FFFFFF"/>
            <w:tcMar>
              <w:top w:w="70" w:type="dxa"/>
              <w:bottom w:w="70" w:type="dxa"/>
              <w:left w:w="50" w:type="dxa"/>
              <w:right w:w="50" w:type="dxa"/>
            </w:tcMar>
          </w:tcPr>
          <w:p>
            <w:pPr>
              <w:jc w:val="right"/>
            </w:pPr>
            <w:r>
              <w:rPr>
                <w:color w:val="334155"/>
                <w:sz w:val="16"/>
              </w:rPr>
              <w:t>$4,500.00</w:t>
            </w:r>
          </w:p>
        </w:tc>
        <w:tc>
          <w:tcPr>
            <w:tcW w:type="dxa" w:w="1440"/>
            <w:shd w:fill="FFFFFF"/>
            <w:tcMar>
              <w:top w:w="70" w:type="dxa"/>
              <w:bottom w:w="70" w:type="dxa"/>
              <w:left w:w="50" w:type="dxa"/>
              <w:right w:w="50" w:type="dxa"/>
            </w:tcMar>
          </w:tcPr>
          <w:p>
            <w:pPr>
              <w:jc w:val="right"/>
            </w:pPr>
            <w:r>
              <w:rPr>
                <w:color w:val="334155"/>
                <w:sz w:val="16"/>
              </w:rPr>
              <w:t>$4,500.00</w:t>
            </w:r>
          </w:p>
        </w:tc>
        <w:tc>
          <w:tcPr>
            <w:tcW w:type="dxa" w:w="1440"/>
            <w:shd w:fill="FFFFFF"/>
            <w:tcMar>
              <w:top w:w="70" w:type="dxa"/>
              <w:bottom w:w="70" w:type="dxa"/>
              <w:left w:w="50" w:type="dxa"/>
              <w:right w:w="50" w:type="dxa"/>
            </w:tcMar>
          </w:tcPr>
          <w:p>
            <w:pPr>
              <w:jc w:val="right"/>
            </w:pPr>
            <w:r>
              <w:rPr>
                <w:color w:val="334155"/>
                <w:sz w:val="16"/>
              </w:rPr>
              <w:t>₹ 4,28,175.00</w:t>
            </w:r>
          </w:p>
        </w:tc>
      </w:tr>
      <w:tr>
        <w:tc>
          <w:tcPr>
            <w:tcW w:type="dxa" w:w="576"/>
            <w:shd w:fill="F8FAFC"/>
            <w:tcMar>
              <w:top w:w="70" w:type="dxa"/>
              <w:bottom w:w="70" w:type="dxa"/>
              <w:left w:w="50" w:type="dxa"/>
              <w:right w:w="50" w:type="dxa"/>
            </w:tcMar>
          </w:tcPr>
          <w:p>
            <w:pPr>
              <w:jc w:val="left"/>
            </w:pPr>
            <w:r>
              <w:rPr>
                <w:color w:val="334155"/>
                <w:sz w:val="16"/>
              </w:rPr>
              <w:t>2</w:t>
            </w:r>
          </w:p>
        </w:tc>
        <w:tc>
          <w:tcPr>
            <w:tcW w:type="dxa" w:w="3744"/>
            <w:shd w:fill="F8FAFC"/>
            <w:tcMar>
              <w:top w:w="70" w:type="dxa"/>
              <w:bottom w:w="70" w:type="dxa"/>
              <w:left w:w="50" w:type="dxa"/>
              <w:right w:w="50" w:type="dxa"/>
            </w:tcMar>
          </w:tcPr>
          <w:p>
            <w:pPr>
              <w:jc w:val="left"/>
            </w:pPr>
            <w:r>
              <w:rPr>
                <w:color w:val="334155"/>
                <w:sz w:val="16"/>
              </w:rPr>
              <w:t>AI Model Fine-Tuning &amp; Prompt Engineering</w:t>
            </w:r>
          </w:p>
        </w:tc>
        <w:tc>
          <w:tcPr>
            <w:tcW w:type="dxa" w:w="1152"/>
            <w:shd w:fill="F8FAFC"/>
            <w:tcMar>
              <w:top w:w="70" w:type="dxa"/>
              <w:bottom w:w="70" w:type="dxa"/>
              <w:left w:w="50" w:type="dxa"/>
              <w:right w:w="50" w:type="dxa"/>
            </w:tcMar>
          </w:tcPr>
          <w:p>
            <w:pPr>
              <w:jc w:val="left"/>
            </w:pPr>
            <w:r>
              <w:rPr>
                <w:color w:val="334155"/>
                <w:sz w:val="16"/>
              </w:rPr>
              <w:t>998313</w:t>
            </w:r>
          </w:p>
        </w:tc>
        <w:tc>
          <w:tcPr>
            <w:tcW w:type="dxa" w:w="576"/>
            <w:shd w:fill="F8FAFC"/>
            <w:tcMar>
              <w:top w:w="70" w:type="dxa"/>
              <w:bottom w:w="70" w:type="dxa"/>
              <w:left w:w="50" w:type="dxa"/>
              <w:right w:w="50" w:type="dxa"/>
            </w:tcMar>
          </w:tcPr>
          <w:p>
            <w:pPr>
              <w:jc w:val="right"/>
            </w:pPr>
            <w:r>
              <w:rPr>
                <w:color w:val="334155"/>
                <w:sz w:val="16"/>
              </w:rPr>
              <w:t>1</w:t>
            </w:r>
          </w:p>
        </w:tc>
        <w:tc>
          <w:tcPr>
            <w:tcW w:type="dxa" w:w="1152"/>
            <w:shd w:fill="F8FAFC"/>
            <w:tcMar>
              <w:top w:w="70" w:type="dxa"/>
              <w:bottom w:w="70" w:type="dxa"/>
              <w:left w:w="50" w:type="dxa"/>
              <w:right w:w="50" w:type="dxa"/>
            </w:tcMar>
          </w:tcPr>
          <w:p>
            <w:pPr>
              <w:jc w:val="right"/>
            </w:pPr>
            <w:r>
              <w:rPr>
                <w:color w:val="334155"/>
                <w:sz w:val="16"/>
              </w:rPr>
              <w:t>$2,000.00</w:t>
            </w:r>
          </w:p>
        </w:tc>
        <w:tc>
          <w:tcPr>
            <w:tcW w:type="dxa" w:w="1440"/>
            <w:shd w:fill="F8FAFC"/>
            <w:tcMar>
              <w:top w:w="70" w:type="dxa"/>
              <w:bottom w:w="70" w:type="dxa"/>
              <w:left w:w="50" w:type="dxa"/>
              <w:right w:w="50" w:type="dxa"/>
            </w:tcMar>
          </w:tcPr>
          <w:p>
            <w:pPr>
              <w:jc w:val="right"/>
            </w:pPr>
            <w:r>
              <w:rPr>
                <w:color w:val="334155"/>
                <w:sz w:val="16"/>
              </w:rPr>
              <w:t>$2,000.00</w:t>
            </w:r>
          </w:p>
        </w:tc>
        <w:tc>
          <w:tcPr>
            <w:tcW w:type="dxa" w:w="1440"/>
            <w:shd w:fill="F8FAFC"/>
            <w:tcMar>
              <w:top w:w="70" w:type="dxa"/>
              <w:bottom w:w="70" w:type="dxa"/>
              <w:left w:w="50" w:type="dxa"/>
              <w:right w:w="50" w:type="dxa"/>
            </w:tcMar>
          </w:tcPr>
          <w:p>
            <w:pPr>
              <w:jc w:val="right"/>
            </w:pPr>
            <w:r>
              <w:rPr>
                <w:color w:val="334155"/>
                <w:sz w:val="16"/>
              </w:rPr>
              <w:t>₹ 1,90,300.00</w:t>
            </w:r>
          </w:p>
        </w:tc>
      </w:tr>
      <w:tr>
        <w:tc>
          <w:tcPr>
            <w:tcW w:type="dxa" w:w="576"/>
            <w:shd w:fill="FFFFFF"/>
            <w:tcMar>
              <w:top w:w="70" w:type="dxa"/>
              <w:bottom w:w="70" w:type="dxa"/>
              <w:left w:w="50" w:type="dxa"/>
              <w:right w:w="50" w:type="dxa"/>
            </w:tcMar>
          </w:tcPr>
          <w:p>
            <w:pPr>
              <w:jc w:val="left"/>
            </w:pPr>
            <w:r>
              <w:rPr>
                <w:color w:val="334155"/>
                <w:sz w:val="16"/>
              </w:rPr>
              <w:t>3</w:t>
            </w:r>
          </w:p>
        </w:tc>
        <w:tc>
          <w:tcPr>
            <w:tcW w:type="dxa" w:w="3744"/>
            <w:shd w:fill="FFFFFF"/>
            <w:tcMar>
              <w:top w:w="70" w:type="dxa"/>
              <w:bottom w:w="70" w:type="dxa"/>
              <w:left w:w="50" w:type="dxa"/>
              <w:right w:w="50" w:type="dxa"/>
            </w:tcMar>
          </w:tcPr>
          <w:p>
            <w:pPr>
              <w:jc w:val="left"/>
            </w:pPr>
            <w:r>
              <w:rPr>
                <w:color w:val="334155"/>
                <w:sz w:val="16"/>
              </w:rPr>
              <w:t>DevOps Infrastructure Automation on AWS</w:t>
            </w:r>
          </w:p>
        </w:tc>
        <w:tc>
          <w:tcPr>
            <w:tcW w:type="dxa" w:w="1152"/>
            <w:shd w:fill="FFFFFF"/>
            <w:tcMar>
              <w:top w:w="70" w:type="dxa"/>
              <w:bottom w:w="70" w:type="dxa"/>
              <w:left w:w="50" w:type="dxa"/>
              <w:right w:w="50" w:type="dxa"/>
            </w:tcMar>
          </w:tcPr>
          <w:p>
            <w:pPr>
              <w:jc w:val="left"/>
            </w:pPr>
            <w:r>
              <w:rPr>
                <w:color w:val="334155"/>
                <w:sz w:val="16"/>
              </w:rPr>
              <w:t>998314</w:t>
            </w:r>
          </w:p>
        </w:tc>
        <w:tc>
          <w:tcPr>
            <w:tcW w:type="dxa" w:w="576"/>
            <w:shd w:fill="FFFFFF"/>
            <w:tcMar>
              <w:top w:w="70" w:type="dxa"/>
              <w:bottom w:w="70" w:type="dxa"/>
              <w:left w:w="50" w:type="dxa"/>
              <w:right w:w="50" w:type="dxa"/>
            </w:tcMar>
          </w:tcPr>
          <w:p>
            <w:pPr>
              <w:jc w:val="right"/>
            </w:pPr>
            <w:r>
              <w:rPr>
                <w:color w:val="334155"/>
                <w:sz w:val="16"/>
              </w:rPr>
              <w:t>1</w:t>
            </w:r>
          </w:p>
        </w:tc>
        <w:tc>
          <w:tcPr>
            <w:tcW w:type="dxa" w:w="1152"/>
            <w:shd w:fill="FFFFFF"/>
            <w:tcMar>
              <w:top w:w="70" w:type="dxa"/>
              <w:bottom w:w="70" w:type="dxa"/>
              <w:left w:w="50" w:type="dxa"/>
              <w:right w:w="50" w:type="dxa"/>
            </w:tcMar>
          </w:tcPr>
          <w:p>
            <w:pPr>
              <w:jc w:val="right"/>
            </w:pPr>
            <w:r>
              <w:rPr>
                <w:color w:val="334155"/>
                <w:sz w:val="16"/>
              </w:rPr>
              <w:t>$1,500.00</w:t>
            </w:r>
          </w:p>
        </w:tc>
        <w:tc>
          <w:tcPr>
            <w:tcW w:type="dxa" w:w="1440"/>
            <w:shd w:fill="FFFFFF"/>
            <w:tcMar>
              <w:top w:w="70" w:type="dxa"/>
              <w:bottom w:w="70" w:type="dxa"/>
              <w:left w:w="50" w:type="dxa"/>
              <w:right w:w="50" w:type="dxa"/>
            </w:tcMar>
          </w:tcPr>
          <w:p>
            <w:pPr>
              <w:jc w:val="right"/>
            </w:pPr>
            <w:r>
              <w:rPr>
                <w:color w:val="334155"/>
                <w:sz w:val="16"/>
              </w:rPr>
              <w:t>$1,500.00</w:t>
            </w:r>
          </w:p>
        </w:tc>
        <w:tc>
          <w:tcPr>
            <w:tcW w:type="dxa" w:w="1440"/>
            <w:shd w:fill="FFFFFF"/>
            <w:tcMar>
              <w:top w:w="70" w:type="dxa"/>
              <w:bottom w:w="70" w:type="dxa"/>
              <w:left w:w="50" w:type="dxa"/>
              <w:right w:w="50" w:type="dxa"/>
            </w:tcMar>
          </w:tcPr>
          <w:p>
            <w:pPr>
              <w:jc w:val="right"/>
            </w:pPr>
            <w:r>
              <w:rPr>
                <w:color w:val="334155"/>
                <w:sz w:val="16"/>
              </w:rPr>
              <w:t>₹ 1,42,725.00</w:t>
            </w:r>
          </w:p>
        </w:tc>
      </w:tr>
    </w:tbl>
    <w:p>
      <w:pPr>
        <w:spacing w:after="120"/>
      </w:pPr>
    </w:p>
    <w:tbl>
      <w:tblPr>
        <w:tblW w:type="auto" w:w="0"/>
        <w:jc w:val="right"/>
        <w:tblLook w:firstColumn="1" w:firstRow="1" w:lastColumn="0" w:lastRow="0" w:noHBand="0" w:noVBand="1" w:val="04A0"/>
      </w:tblPr>
      <w:tblGrid>
        <w:gridCol w:w="5112"/>
        <w:gridCol w:w="5112"/>
      </w:tblGrid>
      <w:tr>
        <w:tc>
          <w:tcPr>
            <w:tcW w:type="dxa" w:w="3600"/>
          </w:tcPr>
          <w:p>
            <w:pPr>
              <w:jc w:val="right"/>
            </w:pPr>
            <w:r>
              <w:rPr>
                <w:b w:val="0"/>
              </w:rPr>
              <w:t>Gross Foreign Currency Value:</w:t>
            </w:r>
          </w:p>
        </w:tc>
        <w:tc>
          <w:tcPr>
            <w:tcW w:type="dxa" w:w="2160"/>
          </w:tcPr>
          <w:p>
            <w:pPr>
              <w:jc w:val="right"/>
            </w:pPr>
            <w:r>
              <w:rPr>
                <w:b w:val="0"/>
              </w:rPr>
              <w:t>$8,000.00 USD</w:t>
            </w:r>
          </w:p>
        </w:tc>
      </w:tr>
      <w:tr>
        <w:tc>
          <w:tcPr>
            <w:tcW w:type="dxa" w:w="3600"/>
          </w:tcPr>
          <w:p>
            <w:pPr>
              <w:jc w:val="right"/>
            </w:pPr>
            <w:r>
              <w:rPr>
                <w:b w:val="0"/>
              </w:rPr>
              <w:t>Integrated Tax (IGST 0% under LUT):</w:t>
            </w:r>
          </w:p>
        </w:tc>
        <w:tc>
          <w:tcPr>
            <w:tcW w:type="dxa" w:w="2160"/>
          </w:tcPr>
          <w:p>
            <w:pPr>
              <w:jc w:val="right"/>
            </w:pPr>
            <w:r>
              <w:rPr>
                <w:b w:val="0"/>
              </w:rPr>
              <w:t>$0.00 USD (₹0.00)</w:t>
            </w:r>
          </w:p>
        </w:tc>
      </w:tr>
      <w:tr>
        <w:tc>
          <w:tcPr>
            <w:tcW w:type="dxa" w:w="3600"/>
          </w:tcPr>
          <w:p>
            <w:pPr>
              <w:jc w:val="right"/>
            </w:pPr>
            <w:r>
              <w:rPr>
                <w:b w:val="0"/>
              </w:rPr>
              <w:t>Equivalent Indian Rupee (INR):</w:t>
            </w:r>
          </w:p>
        </w:tc>
        <w:tc>
          <w:tcPr>
            <w:tcW w:type="dxa" w:w="2160"/>
          </w:tcPr>
          <w:p>
            <w:pPr>
              <w:jc w:val="right"/>
            </w:pPr>
            <w:r>
              <w:rPr>
                <w:b w:val="0"/>
              </w:rPr>
              <w:t>₹ 7,61,200.00 INR</w:t>
            </w:r>
          </w:p>
        </w:tc>
      </w:tr>
      <w:tr>
        <w:tc>
          <w:tcPr>
            <w:tcW w:type="dxa" w:w="3600"/>
            <w:shd w:fill="EFF6FF"/>
          </w:tcPr>
          <w:p>
            <w:pPr>
              <w:jc w:val="right"/>
            </w:pPr>
            <w:r>
              <w:rPr>
                <w:b/>
                <w:sz w:val="19"/>
              </w:rPr>
              <w:t>TOTAL PAYABLE (USD):</w:t>
            </w:r>
          </w:p>
        </w:tc>
        <w:tc>
          <w:tcPr>
            <w:tcW w:type="dxa" w:w="2160"/>
            <w:shd w:fill="EFF6FF"/>
          </w:tcPr>
          <w:p>
            <w:pPr>
              <w:jc w:val="right"/>
            </w:pPr>
            <w:r>
              <w:rPr>
                <w:b/>
                <w:color w:val="0284C7"/>
                <w:sz w:val="19"/>
              </w:rPr>
              <w:t>$8,000.00 USD</w:t>
            </w:r>
          </w:p>
        </w:tc>
      </w:tr>
    </w:tbl>
    <w:p>
      <w:pPr>
        <w:spacing w:after="200"/>
      </w:pPr>
    </w:p>
    <w:p>
      <w:r>
        <w:rPr>
          <w:b/>
          <w:sz w:val="15"/>
        </w:rPr>
        <w:t xml:space="preserve">Exporter Statutory Declaration: </w:t>
      </w:r>
      <w:r>
        <w:rPr>
          <w:sz w:val="15"/>
        </w:rPr>
        <w:t>We hereby declare that this invoice shows the actual price of the services described and that all particulars are true and correct. Proceeds will be realized in freely convertible foreign exchange through authorized banking channels within stipulated FEMA timelines.</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